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9A0F3" w14:textId="399E069E" w:rsidR="00DD516C" w:rsidRPr="00DD516C" w:rsidRDefault="00DD516C" w:rsidP="00CE6308">
      <w:pPr>
        <w:spacing w:line="480" w:lineRule="auto"/>
        <w:rPr>
          <w:rFonts w:ascii="Times New Roman" w:hAnsi="Times New Roman" w:cs="Times New Roman"/>
          <w:sz w:val="24"/>
          <w:szCs w:val="24"/>
          <w:lang w:val="en-US"/>
        </w:rPr>
      </w:pPr>
      <w:r w:rsidRPr="00DD516C">
        <w:rPr>
          <w:rFonts w:ascii="Times New Roman" w:hAnsi="Times New Roman" w:cs="Times New Roman"/>
          <w:sz w:val="24"/>
          <w:szCs w:val="24"/>
          <w:lang w:val="en-US"/>
        </w:rPr>
        <w:t>Student’s Name</w:t>
      </w:r>
    </w:p>
    <w:p w14:paraId="0D706E63" w14:textId="77777777" w:rsidR="00DD516C" w:rsidRPr="00DD516C" w:rsidRDefault="00DD516C" w:rsidP="00CE6308">
      <w:pPr>
        <w:spacing w:line="480" w:lineRule="auto"/>
        <w:rPr>
          <w:rFonts w:ascii="Times New Roman" w:hAnsi="Times New Roman" w:cs="Times New Roman"/>
          <w:sz w:val="24"/>
          <w:szCs w:val="24"/>
          <w:lang w:val="en-US"/>
        </w:rPr>
      </w:pPr>
      <w:r w:rsidRPr="00DD516C">
        <w:rPr>
          <w:rFonts w:ascii="Times New Roman" w:hAnsi="Times New Roman" w:cs="Times New Roman"/>
          <w:sz w:val="24"/>
          <w:szCs w:val="24"/>
          <w:lang w:val="en-US"/>
        </w:rPr>
        <w:t>Professor’s Name</w:t>
      </w:r>
    </w:p>
    <w:p w14:paraId="2D4772DB" w14:textId="77777777" w:rsidR="00DD516C" w:rsidRPr="00DD516C" w:rsidRDefault="00DD516C" w:rsidP="00CE6308">
      <w:pPr>
        <w:spacing w:line="480" w:lineRule="auto"/>
        <w:rPr>
          <w:rFonts w:ascii="Times New Roman" w:hAnsi="Times New Roman" w:cs="Times New Roman"/>
          <w:sz w:val="24"/>
          <w:szCs w:val="24"/>
          <w:lang w:val="en-US"/>
        </w:rPr>
      </w:pPr>
      <w:r w:rsidRPr="00DD516C">
        <w:rPr>
          <w:rFonts w:ascii="Times New Roman" w:hAnsi="Times New Roman" w:cs="Times New Roman"/>
          <w:sz w:val="24"/>
          <w:szCs w:val="24"/>
          <w:lang w:val="en-US"/>
        </w:rPr>
        <w:t>Course</w:t>
      </w:r>
    </w:p>
    <w:p w14:paraId="290DF973" w14:textId="77777777" w:rsidR="00DD516C" w:rsidRPr="00DD516C" w:rsidRDefault="00DD516C" w:rsidP="00CE6308">
      <w:pPr>
        <w:spacing w:line="480" w:lineRule="auto"/>
        <w:rPr>
          <w:rFonts w:ascii="Times New Roman" w:hAnsi="Times New Roman" w:cs="Times New Roman"/>
          <w:sz w:val="24"/>
          <w:szCs w:val="24"/>
          <w:lang w:val="en-US"/>
        </w:rPr>
      </w:pPr>
      <w:r w:rsidRPr="00DD516C">
        <w:rPr>
          <w:rFonts w:ascii="Times New Roman" w:hAnsi="Times New Roman" w:cs="Times New Roman"/>
          <w:sz w:val="24"/>
          <w:szCs w:val="24"/>
          <w:lang w:val="en-US"/>
        </w:rPr>
        <w:t>Date of Submission</w:t>
      </w:r>
    </w:p>
    <w:p w14:paraId="18278BF8" w14:textId="77777777" w:rsidR="00DD516C" w:rsidRPr="00DD516C" w:rsidRDefault="00DD516C" w:rsidP="00CE6308">
      <w:pPr>
        <w:spacing w:line="480" w:lineRule="auto"/>
        <w:jc w:val="center"/>
        <w:rPr>
          <w:rFonts w:ascii="Times New Roman" w:hAnsi="Times New Roman" w:cs="Times New Roman"/>
          <w:sz w:val="24"/>
          <w:szCs w:val="24"/>
          <w:lang w:val="en-US"/>
        </w:rPr>
      </w:pPr>
      <w:r w:rsidRPr="00DD516C">
        <w:rPr>
          <w:rFonts w:ascii="Times New Roman" w:hAnsi="Times New Roman" w:cs="Times New Roman"/>
          <w:sz w:val="24"/>
          <w:szCs w:val="24"/>
          <w:lang w:val="en-US"/>
        </w:rPr>
        <w:t>Historical Politics, Slavery and Feminism in the United States of America</w:t>
      </w:r>
    </w:p>
    <w:p w14:paraId="40315EBE" w14:textId="77777777" w:rsidR="00DD516C" w:rsidRPr="00DD516C" w:rsidRDefault="00DD516C" w:rsidP="00CE6308">
      <w:pPr>
        <w:spacing w:line="480" w:lineRule="auto"/>
        <w:jc w:val="center"/>
        <w:rPr>
          <w:rFonts w:ascii="Times New Roman" w:hAnsi="Times New Roman" w:cs="Times New Roman"/>
          <w:b/>
          <w:sz w:val="24"/>
          <w:szCs w:val="24"/>
          <w:lang w:val="en-US"/>
        </w:rPr>
      </w:pPr>
      <w:r w:rsidRPr="00DD516C">
        <w:rPr>
          <w:rFonts w:ascii="Times New Roman" w:hAnsi="Times New Roman" w:cs="Times New Roman"/>
          <w:b/>
          <w:sz w:val="24"/>
          <w:szCs w:val="24"/>
          <w:lang w:val="en-US"/>
        </w:rPr>
        <w:t>Introduction</w:t>
      </w:r>
    </w:p>
    <w:p w14:paraId="410C7AF6" w14:textId="5E1BE440"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Ideological differences based on political reforms have often stirred unprecedented historical milestones. Boundary rivalry led to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annexation of Texas from being a Mexican state to being a lone state and eventually to being one of the United States acquired new territory. On the same note ideological differences between the Northern and Southern United States in 1840s caused slavery and subsequently racism. The rise of antebellum feminism also followed suit to encounter and reduce slavery that infringed human lives. All these are historical events that are discussed in this paper broadly.</w:t>
      </w:r>
    </w:p>
    <w:p w14:paraId="16D60457" w14:textId="6F104144" w:rsidR="00DD516C" w:rsidRPr="00DD516C" w:rsidRDefault="00DD516C" w:rsidP="00CE6308">
      <w:pPr>
        <w:spacing w:line="480" w:lineRule="auto"/>
        <w:jc w:val="center"/>
        <w:rPr>
          <w:rFonts w:ascii="Times New Roman" w:hAnsi="Times New Roman" w:cs="Times New Roman"/>
          <w:b/>
          <w:sz w:val="24"/>
          <w:szCs w:val="24"/>
          <w:lang w:val="en-US"/>
        </w:rPr>
      </w:pPr>
      <w:r w:rsidRPr="00DD516C">
        <w:rPr>
          <w:rFonts w:ascii="Times New Roman" w:hAnsi="Times New Roman" w:cs="Times New Roman"/>
          <w:b/>
          <w:sz w:val="24"/>
          <w:szCs w:val="24"/>
          <w:lang w:val="en-US"/>
        </w:rPr>
        <w:t xml:space="preserve">Objectionable Actions, Policies and Attitudes Held by America in </w:t>
      </w:r>
      <w:r w:rsidR="006D734B">
        <w:rPr>
          <w:rFonts w:ascii="Times New Roman" w:hAnsi="Times New Roman" w:cs="Times New Roman"/>
          <w:b/>
          <w:sz w:val="24"/>
          <w:szCs w:val="24"/>
          <w:lang w:val="en-US"/>
        </w:rPr>
        <w:t xml:space="preserve">the </w:t>
      </w:r>
      <w:r w:rsidRPr="00DD516C">
        <w:rPr>
          <w:rFonts w:ascii="Times New Roman" w:hAnsi="Times New Roman" w:cs="Times New Roman"/>
          <w:b/>
          <w:sz w:val="24"/>
          <w:szCs w:val="24"/>
          <w:lang w:val="en-US"/>
        </w:rPr>
        <w:t>1840s</w:t>
      </w:r>
    </w:p>
    <w:p w14:paraId="2B713055" w14:textId="1FD9A825"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What I find as an objectionable action is about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 xml:space="preserve">American approach in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 xml:space="preserve">annexation of Texas free nation into a slave source. </w:t>
      </w:r>
      <w:r w:rsidR="006D734B">
        <w:rPr>
          <w:rFonts w:ascii="Times New Roman" w:hAnsi="Times New Roman" w:cs="Times New Roman"/>
          <w:sz w:val="24"/>
          <w:szCs w:val="24"/>
          <w:lang w:val="en-US"/>
        </w:rPr>
        <w:t>The a</w:t>
      </w:r>
      <w:r w:rsidRPr="00DD516C">
        <w:rPr>
          <w:rFonts w:ascii="Times New Roman" w:hAnsi="Times New Roman" w:cs="Times New Roman"/>
          <w:sz w:val="24"/>
          <w:szCs w:val="24"/>
          <w:lang w:val="en-US"/>
        </w:rPr>
        <w:t xml:space="preserve">nnexation of Texas was purely actions driven to outsource </w:t>
      </w:r>
      <w:r w:rsidR="006D734B">
        <w:rPr>
          <w:rFonts w:ascii="Times New Roman" w:hAnsi="Times New Roman" w:cs="Times New Roman"/>
          <w:sz w:val="24"/>
          <w:szCs w:val="24"/>
          <w:lang w:val="en-US"/>
        </w:rPr>
        <w:t>cheap Mexican</w:t>
      </w:r>
      <w:r w:rsidRPr="00DD516C">
        <w:rPr>
          <w:rFonts w:ascii="Times New Roman" w:hAnsi="Times New Roman" w:cs="Times New Roman"/>
          <w:sz w:val="24"/>
          <w:szCs w:val="24"/>
          <w:lang w:val="en-US"/>
        </w:rPr>
        <w:t xml:space="preserve"> labo</w:t>
      </w:r>
      <w:r w:rsidR="006D734B">
        <w:rPr>
          <w:rFonts w:ascii="Times New Roman" w:hAnsi="Times New Roman" w:cs="Times New Roman"/>
          <w:sz w:val="24"/>
          <w:szCs w:val="24"/>
          <w:lang w:val="en-US"/>
        </w:rPr>
        <w:t>u</w:t>
      </w:r>
      <w:r w:rsidRPr="00DD516C">
        <w:rPr>
          <w:rFonts w:ascii="Times New Roman" w:hAnsi="Times New Roman" w:cs="Times New Roman"/>
          <w:sz w:val="24"/>
          <w:szCs w:val="24"/>
          <w:lang w:val="en-US"/>
        </w:rPr>
        <w:t>r for American farmlands and industries like discussed in the research studies by Romero (289). Mexico</w:t>
      </w:r>
      <w:r w:rsidR="006D734B">
        <w:rPr>
          <w:rFonts w:ascii="Times New Roman" w:hAnsi="Times New Roman" w:cs="Times New Roman"/>
          <w:sz w:val="24"/>
          <w:szCs w:val="24"/>
          <w:lang w:val="en-US"/>
        </w:rPr>
        <w:t>,</w:t>
      </w:r>
      <w:r w:rsidRPr="00DD516C">
        <w:rPr>
          <w:rFonts w:ascii="Times New Roman" w:hAnsi="Times New Roman" w:cs="Times New Roman"/>
          <w:sz w:val="24"/>
          <w:szCs w:val="24"/>
          <w:lang w:val="en-US"/>
        </w:rPr>
        <w:t xml:space="preserve"> during the annexation period of Texas</w:t>
      </w:r>
      <w:r w:rsidR="006D734B">
        <w:rPr>
          <w:rFonts w:ascii="Times New Roman" w:hAnsi="Times New Roman" w:cs="Times New Roman"/>
          <w:sz w:val="24"/>
          <w:szCs w:val="24"/>
          <w:lang w:val="en-US"/>
        </w:rPr>
        <w:t>,</w:t>
      </w:r>
      <w:r w:rsidRPr="00DD516C">
        <w:rPr>
          <w:rFonts w:ascii="Times New Roman" w:hAnsi="Times New Roman" w:cs="Times New Roman"/>
          <w:sz w:val="24"/>
          <w:szCs w:val="24"/>
          <w:lang w:val="en-US"/>
        </w:rPr>
        <w:t xml:space="preserve"> had laws requiring all its citizens to file documents that abide by the Mexican federal provisions. Among these laws included the abolition of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 xml:space="preserve">slave trade. When the settlers came from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 xml:space="preserve">United States, Texas became an American territory that acted as </w:t>
      </w:r>
      <w:r w:rsidR="006D734B">
        <w:rPr>
          <w:rFonts w:ascii="Times New Roman" w:hAnsi="Times New Roman" w:cs="Times New Roman"/>
          <w:sz w:val="24"/>
          <w:szCs w:val="24"/>
          <w:lang w:val="en-US"/>
        </w:rPr>
        <w:t xml:space="preserve">a </w:t>
      </w:r>
      <w:r w:rsidRPr="00DD516C">
        <w:rPr>
          <w:rFonts w:ascii="Times New Roman" w:hAnsi="Times New Roman" w:cs="Times New Roman"/>
          <w:sz w:val="24"/>
          <w:szCs w:val="24"/>
          <w:lang w:val="en-US"/>
        </w:rPr>
        <w:t>source of cheap slave labor as shown by Samora (n.p).</w:t>
      </w:r>
    </w:p>
    <w:p w14:paraId="30580598" w14:textId="7C1465B6"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lastRenderedPageBreak/>
        <w:t xml:space="preserve">After Texas annexation, immigration policies were instigated in Texas to block Mexicans from going into Texas which had then become part of </w:t>
      </w:r>
      <w:r w:rsidR="006D734B">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United States.  I similarly find this action objectionable for Texas had been part of Mexico for a long time. American political leadership declined to allow immigrants into the country positing that they were inferior race and immigrants that deserved only to work as slaves and not for economic emancipation (Ford &amp; Tyler n.p). These furthermore comprised and developed to the present time American sour attitude towards immigrants. Furthermore, I find the American attitude of superiority over minor races as being objectionable for it came out more like colonization. As told by Tyler (n.p), at the time of Mexican-American war, the United States was also acquiring additional territories like Ohio, California, Nevada and New Mexico. This was double colonization at its best.</w:t>
      </w:r>
    </w:p>
    <w:p w14:paraId="3BDB7475" w14:textId="77777777" w:rsidR="00DD516C" w:rsidRPr="00DD516C" w:rsidRDefault="00DD516C" w:rsidP="00CE6308">
      <w:pPr>
        <w:spacing w:line="480" w:lineRule="auto"/>
        <w:jc w:val="center"/>
        <w:rPr>
          <w:rFonts w:ascii="Times New Roman" w:hAnsi="Times New Roman" w:cs="Times New Roman"/>
          <w:b/>
          <w:sz w:val="24"/>
          <w:szCs w:val="24"/>
          <w:lang w:val="en-US"/>
        </w:rPr>
      </w:pPr>
      <w:r w:rsidRPr="00DD516C">
        <w:rPr>
          <w:rFonts w:ascii="Times New Roman" w:hAnsi="Times New Roman" w:cs="Times New Roman"/>
          <w:b/>
          <w:sz w:val="24"/>
          <w:szCs w:val="24"/>
          <w:lang w:val="en-US"/>
        </w:rPr>
        <w:t>Strategies and Philosophies Used by Slaves for Cultural Continuation and their Advantage</w:t>
      </w:r>
    </w:p>
    <w:p w14:paraId="6D0F76FB" w14:textId="77777777"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The strategies that slaves developed to resist continuous subjugation included running away and rebelling against slave owners and their hard duties. Slaves could run away from their masters and hide in the forests while others escaped to hide in the cabins of relatives as depicted by Schwaller (n.p). Once they were with their relatives, the slaves would commune in songs, traditional folk dances and oral narrations. These actions constituted their culture (Schwaller, n.p). In certain instances, the slaves rebelled against exploitation by slowing down work. In other cases, they rebelled against racial exploitation and slavery by retaining their ancestral names as opposed to the white American names they were given. Names were and are still considered part of the African American culture.</w:t>
      </w:r>
    </w:p>
    <w:p w14:paraId="05546A28" w14:textId="39811A6F"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The slaves used </w:t>
      </w:r>
      <w:r w:rsidR="00BA517A">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 xml:space="preserve">southerners’ philosophy of Christianity to take leave from hard labor and workload that was part of their daily routine and </w:t>
      </w:r>
      <w:r w:rsidR="00BA517A" w:rsidRPr="00DD516C">
        <w:rPr>
          <w:rFonts w:ascii="Times New Roman" w:hAnsi="Times New Roman" w:cs="Times New Roman"/>
          <w:sz w:val="24"/>
          <w:szCs w:val="24"/>
          <w:lang w:val="en-US"/>
        </w:rPr>
        <w:t>instill</w:t>
      </w:r>
      <w:r w:rsidRPr="00DD516C">
        <w:rPr>
          <w:rFonts w:ascii="Times New Roman" w:hAnsi="Times New Roman" w:cs="Times New Roman"/>
          <w:sz w:val="24"/>
          <w:szCs w:val="24"/>
          <w:lang w:val="en-US"/>
        </w:rPr>
        <w:t xml:space="preserve"> hope among themselves. On </w:t>
      </w:r>
      <w:r w:rsidRPr="00DD516C">
        <w:rPr>
          <w:rFonts w:ascii="Times New Roman" w:hAnsi="Times New Roman" w:cs="Times New Roman"/>
          <w:sz w:val="24"/>
          <w:szCs w:val="24"/>
          <w:lang w:val="en-US"/>
        </w:rPr>
        <w:lastRenderedPageBreak/>
        <w:t>given days such as the Sunday weekends, the slaves could gather and carry out traditional songs and dances. During these times</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 xml:space="preserve"> they could also practice customary marriage among fellow slaves as shown by Schwaller (n.p) and Romero (302). The slaves also took advantage of the Southern masters’ ideologies of social class segregation. As the white masters separated and conflicted with other masters in farm acquisition and wealth competitions, attention was shifted from the slaves allowing them to reflect and sneak out from strenuous duties. Social class distinctions were also based on white slave-owners reputation differences. The wealthiest masters had majority slaves and it was easier for the slaves to gain social acquaintance with other slaves in these yards.</w:t>
      </w:r>
    </w:p>
    <w:p w14:paraId="12793476" w14:textId="77777777" w:rsidR="00DD516C" w:rsidRPr="00DD516C" w:rsidRDefault="00DD516C" w:rsidP="00CE6308">
      <w:pPr>
        <w:spacing w:line="480" w:lineRule="auto"/>
        <w:jc w:val="center"/>
        <w:rPr>
          <w:rFonts w:ascii="Times New Roman" w:hAnsi="Times New Roman" w:cs="Times New Roman"/>
          <w:b/>
          <w:sz w:val="24"/>
          <w:szCs w:val="24"/>
          <w:lang w:val="en-US"/>
        </w:rPr>
      </w:pPr>
      <w:r w:rsidRPr="00DD516C">
        <w:rPr>
          <w:rFonts w:ascii="Times New Roman" w:hAnsi="Times New Roman" w:cs="Times New Roman"/>
          <w:b/>
          <w:sz w:val="24"/>
          <w:szCs w:val="24"/>
          <w:lang w:val="en-US"/>
        </w:rPr>
        <w:t>Ways that Antebellum Feminists were Radical and Traditional</w:t>
      </w:r>
    </w:p>
    <w:p w14:paraId="4EDE419F" w14:textId="0BE48746"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Antebellum feminists were radical in their role to emancipate slaves through education anchored on reading and writing among the slave children. The women folk used the school of thought that teaching their young ones how to read and write was a big way of fighting slavery. Indeed, this contributed to the antecedents of Black Movements, Chitlin Circuit and general outcry towards </w:t>
      </w:r>
      <w:r w:rsidR="00BA517A">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abolition of slavery</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like demonstrated by Ford &amp; Tyler (n.p). In addition, antebellum feminists were radicle in view of religion. They resorted to using religion as the method of pacifying the enraged slave souls and changing the slavery status quo (Huneycutt, 293). More in line with economic capitalism, the antebellum feminists were determined to use religion as the unifying factor for all races and threshold for equal sharing of resources as opposed to capitalistic economic approach that was gaining momentum.</w:t>
      </w:r>
    </w:p>
    <w:p w14:paraId="3F8857CA" w14:textId="77777777"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Antebellum feminists were traditional-oriented in that they held on to the informal teachings of the society that women were the fabric of family care and morals. Instead of refuting the domestic chores of women, the antebellum feminists chose to acquire liberation </w:t>
      </w:r>
      <w:r w:rsidRPr="00DD516C">
        <w:rPr>
          <w:rFonts w:ascii="Times New Roman" w:hAnsi="Times New Roman" w:cs="Times New Roman"/>
          <w:sz w:val="24"/>
          <w:szCs w:val="24"/>
          <w:lang w:val="en-US"/>
        </w:rPr>
        <w:lastRenderedPageBreak/>
        <w:t>by appreciating and demanding mutual respect while at it (Huneycutt 295). In addition, the antebellum feminists traditionally followed the nature of work they did in the farms during slavery to agitate for equal rights for all sexes. This became the springboard for gender equality rights and its tenets in sociological discourse and political spheres.</w:t>
      </w:r>
    </w:p>
    <w:p w14:paraId="6C9CB0DA" w14:textId="77777777" w:rsidR="00DD516C" w:rsidRPr="00DD516C" w:rsidRDefault="00DD516C" w:rsidP="00CE6308">
      <w:pPr>
        <w:spacing w:line="480" w:lineRule="auto"/>
        <w:jc w:val="center"/>
        <w:rPr>
          <w:rFonts w:ascii="Times New Roman" w:hAnsi="Times New Roman" w:cs="Times New Roman"/>
          <w:b/>
          <w:sz w:val="24"/>
          <w:szCs w:val="24"/>
          <w:lang w:val="en-US"/>
        </w:rPr>
      </w:pPr>
      <w:r w:rsidRPr="00DD516C">
        <w:rPr>
          <w:rFonts w:ascii="Times New Roman" w:hAnsi="Times New Roman" w:cs="Times New Roman"/>
          <w:b/>
          <w:sz w:val="24"/>
          <w:szCs w:val="24"/>
          <w:lang w:val="en-US"/>
        </w:rPr>
        <w:t>Conclusion</w:t>
      </w:r>
    </w:p>
    <w:p w14:paraId="52399E8B" w14:textId="5926524F" w:rsidR="00DD516C" w:rsidRPr="00DD516C" w:rsidRDefault="00DD516C" w:rsidP="00CE6308">
      <w:pPr>
        <w:spacing w:line="480" w:lineRule="auto"/>
        <w:ind w:firstLine="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In a wider view, the historical fights that were meted against the Mexicans on the Texas Annexation, Mexican-American war and slavery are still running deep within the American society. </w:t>
      </w:r>
      <w:r w:rsidR="00BA517A">
        <w:rPr>
          <w:rFonts w:ascii="Times New Roman" w:hAnsi="Times New Roman" w:cs="Times New Roman"/>
          <w:sz w:val="24"/>
          <w:szCs w:val="24"/>
          <w:lang w:val="en-US"/>
        </w:rPr>
        <w:t xml:space="preserve">The </w:t>
      </w:r>
      <w:r w:rsidRPr="00DD516C">
        <w:rPr>
          <w:rFonts w:ascii="Times New Roman" w:hAnsi="Times New Roman" w:cs="Times New Roman"/>
          <w:sz w:val="24"/>
          <w:szCs w:val="24"/>
          <w:lang w:val="en-US"/>
        </w:rPr>
        <w:t>United States is still rattling in creating harmonious policies for immigration regulations. The antislavery movements that started then are still predominantly accentuated through racism and ethnic separations. The similar radical feminist positions are widely picketed for. In summary, it is impossible to move on or forget political injustices. Failure to adequately address the political injustices only replicates such acts in the present society.</w:t>
      </w:r>
    </w:p>
    <w:p w14:paraId="2E851939" w14:textId="77777777" w:rsidR="00D96C6C" w:rsidRDefault="00D96C6C" w:rsidP="00CE630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842460" w14:textId="1E75F6AD" w:rsidR="00DD516C" w:rsidRPr="00DD516C" w:rsidRDefault="00DD516C" w:rsidP="00CE6308">
      <w:pPr>
        <w:spacing w:line="480" w:lineRule="auto"/>
        <w:jc w:val="center"/>
        <w:rPr>
          <w:rFonts w:ascii="Times New Roman" w:hAnsi="Times New Roman" w:cs="Times New Roman"/>
          <w:sz w:val="24"/>
          <w:szCs w:val="24"/>
          <w:lang w:val="en-US"/>
        </w:rPr>
      </w:pPr>
      <w:r w:rsidRPr="00DD516C">
        <w:rPr>
          <w:rFonts w:ascii="Times New Roman" w:hAnsi="Times New Roman" w:cs="Times New Roman"/>
          <w:sz w:val="24"/>
          <w:szCs w:val="24"/>
          <w:lang w:val="en-US"/>
        </w:rPr>
        <w:lastRenderedPageBreak/>
        <w:t>Works Cited</w:t>
      </w:r>
    </w:p>
    <w:p w14:paraId="2ABB2441" w14:textId="1AA94874" w:rsidR="005E58BA" w:rsidRPr="00DD516C" w:rsidRDefault="005E58BA" w:rsidP="00CE6308">
      <w:pPr>
        <w:spacing w:line="480" w:lineRule="auto"/>
        <w:ind w:left="720" w:hanging="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Ford, Brandon, and Jacki Hedlund Tyler. </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The Annexation of Texas and the Road to Civil War.</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 xml:space="preserve"> (2017).</w:t>
      </w:r>
    </w:p>
    <w:p w14:paraId="686A88E9" w14:textId="026C8F49" w:rsidR="005E58BA" w:rsidRPr="00DD516C" w:rsidRDefault="005E58BA" w:rsidP="00CE6308">
      <w:pPr>
        <w:spacing w:line="480" w:lineRule="auto"/>
        <w:ind w:left="720" w:hanging="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Huneycutt, Keith. </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The Storm: True Womanhood, Feminism, and Companionate Marriage in Antebellum Key West.</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 xml:space="preserve"> CEA Critic 79.3 (2017): 291-297.</w:t>
      </w:r>
    </w:p>
    <w:p w14:paraId="5A132E6E" w14:textId="60FC6554" w:rsidR="005E58BA" w:rsidRPr="00DD516C" w:rsidRDefault="005E58BA" w:rsidP="00CE6308">
      <w:pPr>
        <w:spacing w:line="480" w:lineRule="auto"/>
        <w:ind w:left="720" w:hanging="720"/>
        <w:rPr>
          <w:rFonts w:ascii="Times New Roman" w:hAnsi="Times New Roman" w:cs="Times New Roman"/>
          <w:sz w:val="24"/>
          <w:szCs w:val="24"/>
          <w:lang w:val="en-US"/>
        </w:rPr>
      </w:pPr>
      <w:r w:rsidRPr="00DD516C">
        <w:rPr>
          <w:rFonts w:ascii="Times New Roman" w:hAnsi="Times New Roman" w:cs="Times New Roman"/>
          <w:sz w:val="24"/>
          <w:szCs w:val="24"/>
          <w:lang w:val="en-US"/>
        </w:rPr>
        <w:t xml:space="preserve">Romero, Francine Sanders. </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Political and Policy Dynamics of Municipal Annexation in Texas.</w:t>
      </w:r>
      <w:r w:rsidR="00BA517A">
        <w:rPr>
          <w:rFonts w:ascii="Times New Roman" w:hAnsi="Times New Roman" w:cs="Times New Roman"/>
          <w:sz w:val="24"/>
          <w:szCs w:val="24"/>
          <w:lang w:val="en-US"/>
        </w:rPr>
        <w:t>”</w:t>
      </w:r>
      <w:r w:rsidRPr="00DD516C">
        <w:rPr>
          <w:rFonts w:ascii="Times New Roman" w:hAnsi="Times New Roman" w:cs="Times New Roman"/>
          <w:sz w:val="24"/>
          <w:szCs w:val="24"/>
          <w:lang w:val="en-US"/>
        </w:rPr>
        <w:t> </w:t>
      </w:r>
      <w:r w:rsidRPr="00DD516C">
        <w:rPr>
          <w:rFonts w:ascii="Times New Roman" w:hAnsi="Times New Roman" w:cs="Times New Roman"/>
          <w:i/>
          <w:iCs/>
          <w:sz w:val="24"/>
          <w:szCs w:val="24"/>
          <w:lang w:val="en-US"/>
        </w:rPr>
        <w:t>Public Administration Quarterly</w:t>
      </w:r>
      <w:r w:rsidRPr="00DD516C">
        <w:rPr>
          <w:rFonts w:ascii="Times New Roman" w:hAnsi="Times New Roman" w:cs="Times New Roman"/>
          <w:sz w:val="24"/>
          <w:szCs w:val="24"/>
          <w:lang w:val="en-US"/>
        </w:rPr>
        <w:t> 44.2 (2020): 288-328.</w:t>
      </w:r>
    </w:p>
    <w:p w14:paraId="2CE91F5C" w14:textId="77777777" w:rsidR="005E58BA" w:rsidRPr="00DD516C" w:rsidRDefault="005E58BA" w:rsidP="00CE6308">
      <w:pPr>
        <w:spacing w:line="480" w:lineRule="auto"/>
        <w:ind w:left="720" w:hanging="720"/>
        <w:rPr>
          <w:rFonts w:ascii="Times New Roman" w:hAnsi="Times New Roman" w:cs="Times New Roman"/>
          <w:sz w:val="24"/>
          <w:szCs w:val="24"/>
          <w:lang w:val="en-US"/>
        </w:rPr>
      </w:pPr>
      <w:r w:rsidRPr="00DD516C">
        <w:rPr>
          <w:rFonts w:ascii="Times New Roman" w:hAnsi="Times New Roman" w:cs="Times New Roman"/>
          <w:sz w:val="24"/>
          <w:szCs w:val="24"/>
          <w:lang w:val="en-US"/>
        </w:rPr>
        <w:t>Samora, Julian. </w:t>
      </w:r>
      <w:r w:rsidRPr="00DD516C">
        <w:rPr>
          <w:rFonts w:ascii="Times New Roman" w:hAnsi="Times New Roman" w:cs="Times New Roman"/>
          <w:i/>
          <w:iCs/>
          <w:sz w:val="24"/>
          <w:szCs w:val="24"/>
          <w:lang w:val="en-US"/>
        </w:rPr>
        <w:t>The History of the Mexican-American People: Revised Edition</w:t>
      </w:r>
      <w:r w:rsidRPr="00DD516C">
        <w:rPr>
          <w:rFonts w:ascii="Times New Roman" w:hAnsi="Times New Roman" w:cs="Times New Roman"/>
          <w:sz w:val="24"/>
          <w:szCs w:val="24"/>
          <w:lang w:val="en-US"/>
        </w:rPr>
        <w:t>. University of Notre Dame Press, 2019.</w:t>
      </w:r>
    </w:p>
    <w:p w14:paraId="0664C765" w14:textId="77777777" w:rsidR="005E58BA" w:rsidRPr="00DD516C" w:rsidRDefault="005E58BA" w:rsidP="00CE6308">
      <w:pPr>
        <w:spacing w:line="480" w:lineRule="auto"/>
        <w:ind w:left="720" w:hanging="720"/>
        <w:rPr>
          <w:rFonts w:ascii="Times New Roman" w:hAnsi="Times New Roman" w:cs="Times New Roman"/>
          <w:sz w:val="24"/>
          <w:szCs w:val="24"/>
          <w:lang w:val="en-US"/>
        </w:rPr>
      </w:pPr>
      <w:r w:rsidRPr="00DD516C">
        <w:rPr>
          <w:rFonts w:ascii="Times New Roman" w:hAnsi="Times New Roman" w:cs="Times New Roman"/>
          <w:sz w:val="24"/>
          <w:szCs w:val="24"/>
          <w:lang w:val="en-US"/>
        </w:rPr>
        <w:t>Schwaller, Tyler M. </w:t>
      </w:r>
      <w:r w:rsidRPr="00DD516C">
        <w:rPr>
          <w:rFonts w:ascii="Times New Roman" w:hAnsi="Times New Roman" w:cs="Times New Roman"/>
          <w:i/>
          <w:iCs/>
          <w:sz w:val="24"/>
          <w:szCs w:val="24"/>
          <w:lang w:val="en-US"/>
        </w:rPr>
        <w:t>The Use of Slaves in Early Christianity: Slaves as Subjects of Life and Thought</w:t>
      </w:r>
      <w:r w:rsidRPr="00DD516C">
        <w:rPr>
          <w:rFonts w:ascii="Times New Roman" w:hAnsi="Times New Roman" w:cs="Times New Roman"/>
          <w:sz w:val="24"/>
          <w:szCs w:val="24"/>
          <w:lang w:val="en-US"/>
        </w:rPr>
        <w:t>. Diss. 2017.</w:t>
      </w:r>
    </w:p>
    <w:sectPr w:rsidR="005E58BA" w:rsidRPr="00DD516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A82B07" w14:textId="77777777" w:rsidR="001224AB" w:rsidRDefault="001224AB" w:rsidP="00DD516C">
      <w:pPr>
        <w:spacing w:after="0" w:line="240" w:lineRule="auto"/>
      </w:pPr>
      <w:r>
        <w:separator/>
      </w:r>
    </w:p>
  </w:endnote>
  <w:endnote w:type="continuationSeparator" w:id="0">
    <w:p w14:paraId="363D1077" w14:textId="77777777" w:rsidR="001224AB" w:rsidRDefault="001224AB" w:rsidP="00DD5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D0269B" w14:textId="77777777" w:rsidR="001224AB" w:rsidRDefault="001224AB" w:rsidP="00DD516C">
      <w:pPr>
        <w:spacing w:after="0" w:line="240" w:lineRule="auto"/>
      </w:pPr>
      <w:r>
        <w:separator/>
      </w:r>
    </w:p>
  </w:footnote>
  <w:footnote w:type="continuationSeparator" w:id="0">
    <w:p w14:paraId="4C1C8A06" w14:textId="77777777" w:rsidR="001224AB" w:rsidRDefault="001224AB" w:rsidP="00DD5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03516597"/>
      <w:docPartObj>
        <w:docPartGallery w:val="Page Numbers (Top of Page)"/>
        <w:docPartUnique/>
      </w:docPartObj>
    </w:sdtPr>
    <w:sdtEndPr>
      <w:rPr>
        <w:noProof/>
      </w:rPr>
    </w:sdtEndPr>
    <w:sdtContent>
      <w:p w14:paraId="2F18198D" w14:textId="4E7AC525" w:rsidR="00DD516C" w:rsidRPr="00DD516C" w:rsidRDefault="00DD516C" w:rsidP="00DD516C">
        <w:pPr>
          <w:pStyle w:val="Header"/>
          <w:jc w:val="right"/>
          <w:rPr>
            <w:rFonts w:ascii="Times New Roman" w:hAnsi="Times New Roman" w:cs="Times New Roman"/>
            <w:sz w:val="24"/>
            <w:szCs w:val="24"/>
          </w:rPr>
        </w:pPr>
        <w:r w:rsidRPr="00DD516C">
          <w:rPr>
            <w:rFonts w:ascii="Times New Roman" w:hAnsi="Times New Roman" w:cs="Times New Roman"/>
            <w:sz w:val="24"/>
            <w:szCs w:val="24"/>
            <w:lang w:val="en-US"/>
          </w:rPr>
          <w:t xml:space="preserve">Surname </w:t>
        </w:r>
        <w:r w:rsidRPr="00DD516C">
          <w:rPr>
            <w:rFonts w:ascii="Times New Roman" w:hAnsi="Times New Roman" w:cs="Times New Roman"/>
            <w:sz w:val="24"/>
            <w:szCs w:val="24"/>
          </w:rPr>
          <w:fldChar w:fldCharType="begin"/>
        </w:r>
        <w:r w:rsidRPr="00DD516C">
          <w:rPr>
            <w:rFonts w:ascii="Times New Roman" w:hAnsi="Times New Roman" w:cs="Times New Roman"/>
            <w:sz w:val="24"/>
            <w:szCs w:val="24"/>
          </w:rPr>
          <w:instrText xml:space="preserve"> PAGE   \* MERGEFORMAT </w:instrText>
        </w:r>
        <w:r w:rsidRPr="00DD516C">
          <w:rPr>
            <w:rFonts w:ascii="Times New Roman" w:hAnsi="Times New Roman" w:cs="Times New Roman"/>
            <w:sz w:val="24"/>
            <w:szCs w:val="24"/>
          </w:rPr>
          <w:fldChar w:fldCharType="separate"/>
        </w:r>
        <w:r w:rsidRPr="00DD516C">
          <w:rPr>
            <w:rFonts w:ascii="Times New Roman" w:hAnsi="Times New Roman" w:cs="Times New Roman"/>
            <w:noProof/>
            <w:sz w:val="24"/>
            <w:szCs w:val="24"/>
          </w:rPr>
          <w:t>2</w:t>
        </w:r>
        <w:r w:rsidRPr="00DD516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MwNjAwt7A0sTAzN7RQ0lEKTi0uzszPAykwrAUA/A4H7CwAAAA="/>
  </w:docVars>
  <w:rsids>
    <w:rsidRoot w:val="00DD516C"/>
    <w:rsid w:val="000F392E"/>
    <w:rsid w:val="001224AB"/>
    <w:rsid w:val="005E58BA"/>
    <w:rsid w:val="006D734B"/>
    <w:rsid w:val="00BA517A"/>
    <w:rsid w:val="00CE6308"/>
    <w:rsid w:val="00D96C6C"/>
    <w:rsid w:val="00DD516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A0E3"/>
  <w15:chartTrackingRefBased/>
  <w15:docId w15:val="{41D9E940-F3A7-463C-9E53-AA459B1B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16C"/>
  </w:style>
  <w:style w:type="paragraph" w:styleId="Footer">
    <w:name w:val="footer"/>
    <w:basedOn w:val="Normal"/>
    <w:link w:val="FooterChar"/>
    <w:uiPriority w:val="99"/>
    <w:unhideWhenUsed/>
    <w:rsid w:val="00DD5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1061</Words>
  <Characters>6051</Characters>
  <Application>Microsoft Office Word</Application>
  <DocSecurity>0</DocSecurity>
  <Lines>50</Lines>
  <Paragraphs>14</Paragraphs>
  <ScaleCrop>false</ScaleCrop>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2020-10-10T19:01:00Z</dcterms:created>
  <dcterms:modified xsi:type="dcterms:W3CDTF">2020-10-10T19:08:00Z</dcterms:modified>
</cp:coreProperties>
</file>